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3C7" w:rsidRDefault="00444FE9">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E13C7" w:rsidRDefault="00444FE9">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1.013233</w:t>
      </w:r>
    </w:p>
    <w:p w:rsidR="00EE13C7" w:rsidRDefault="00444FE9">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864/QĐ-BXD</w:t>
      </w:r>
    </w:p>
    <w:p w:rsidR="00EE13C7" w:rsidRDefault="00444FE9">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Gia hạn giấy phép xây dựng đối với công trình cấp đặc biệt, cấp I, cấp II (Công trình không theo tuyến/theo tuyến trong đô thị/tín ngưỡng, tôn giáo/tượng đài, tranh </w:t>
      </w:r>
      <w:r>
        <w:rPr>
          <w:rFonts w:ascii="Times New Roman" w:eastAsia="Times New Roman" w:hAnsi="Times New Roman" w:cs="Times New Roman"/>
          <w:sz w:val="26"/>
        </w:rPr>
        <w:t>hoành tráng/sửa chữa, cải tạo/theo giai đoạn cho công trình không theo tuyến/theo giai đoạn cho công trình theo tuyến trong đô thị/Dự án)</w:t>
      </w:r>
    </w:p>
    <w:p w:rsidR="00EE13C7" w:rsidRDefault="00444FE9">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EE13C7" w:rsidRDefault="00444FE9">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EE13C7" w:rsidRDefault="00444FE9">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Hoạt động xây dựng</w:t>
      </w:r>
    </w:p>
    <w:p w:rsidR="00EE13C7" w:rsidRDefault="00444FE9">
      <w:pPr>
        <w:spacing w:after="0" w:line="276" w:lineRule="auto"/>
        <w:jc w:val="both"/>
      </w:pPr>
      <w:r>
        <w:rPr>
          <w:rFonts w:ascii="Times New Roman" w:eastAsia="Times New Roman" w:hAnsi="Times New Roman" w:cs="Times New Roman"/>
          <w:b/>
          <w:sz w:val="26"/>
        </w:rPr>
        <w:t>Trình tự thực</w:t>
      </w:r>
      <w:r>
        <w:rPr>
          <w:rFonts w:ascii="Times New Roman" w:eastAsia="Times New Roman" w:hAnsi="Times New Roman" w:cs="Times New Roman"/>
          <w:b/>
          <w:sz w:val="26"/>
        </w:rPr>
        <w:t xml:space="preserve"> hiện: </w:t>
      </w:r>
    </w:p>
    <w:p w:rsidR="00EE13C7" w:rsidRDefault="00EE13C7">
      <w:pPr>
        <w:shd w:val="clear" w:color="auto" w:fill="F2F6F9"/>
        <w:spacing w:before="120" w:after="0" w:line="276" w:lineRule="auto"/>
        <w:jc w:val="both"/>
      </w:pPr>
    </w:p>
    <w:p w:rsidR="00EE13C7" w:rsidRDefault="00444FE9">
      <w:pPr>
        <w:spacing w:after="0" w:line="276" w:lineRule="auto"/>
        <w:jc w:val="both"/>
      </w:pPr>
      <w:r>
        <w:rPr>
          <w:rFonts w:ascii="Times New Roman" w:eastAsia="Times New Roman" w:hAnsi="Times New Roman" w:cs="Times New Roman"/>
          <w:sz w:val="26"/>
        </w:rPr>
        <w:t>- Chủ đầu tư nộp 02 bộ hồ sơ đề nghị gia hạn giấy phép xây dựng cho Trung tâm phục vụ hành chính công hoặc Bộ phận tiếp nhận và trả kết quả giải quyết thủ tục hành chính của Sở Xây dựng hoặc Ban Quản lý khu công nghiệp, khu chế xuất, khu công nghệ</w:t>
      </w:r>
      <w:r>
        <w:rPr>
          <w:rFonts w:ascii="Times New Roman" w:eastAsia="Times New Roman" w:hAnsi="Times New Roman" w:cs="Times New Roman"/>
          <w:sz w:val="26"/>
        </w:rPr>
        <w:t xml:space="preserve"> cao, khu kinh tế theo phân cấp, ủy quyền của Ủy ban nhân dân cấp tỉnh.</w:t>
      </w:r>
    </w:p>
    <w:p w:rsidR="00EE13C7" w:rsidRDefault="00444FE9">
      <w:pPr>
        <w:spacing w:after="0" w:line="276" w:lineRule="auto"/>
        <w:jc w:val="both"/>
      </w:pPr>
      <w:r>
        <w:rPr>
          <w:rFonts w:ascii="Times New Roman" w:eastAsia="Times New Roman" w:hAnsi="Times New Roman" w:cs="Times New Roman"/>
          <w:sz w:val="26"/>
        </w:rPr>
        <w:t>- Trong thời hạn 05 ngày làm việc kể từ ngày nhận đủ hồ sơ hợp lệ, cơ quan có thẩm quyền có trách nhiệm xem xét gia hạn giấy phép xây dựng.</w:t>
      </w:r>
    </w:p>
    <w:p w:rsidR="00EE13C7" w:rsidRDefault="00444FE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108"/>
        <w:gridCol w:w="1151"/>
        <w:gridCol w:w="4792"/>
        <w:gridCol w:w="2360"/>
      </w:tblGrid>
      <w:tr w:rsidR="00EE13C7">
        <w:tblPrEx>
          <w:tblCellMar>
            <w:top w:w="0" w:type="dxa"/>
            <w:bottom w:w="0" w:type="dxa"/>
          </w:tblCellMar>
        </w:tblPrEx>
        <w:tc>
          <w:tcPr>
            <w:tcW w:w="1500" w:type="dxa"/>
          </w:tcPr>
          <w:p w:rsidR="00EE13C7" w:rsidRDefault="00EE13C7"/>
          <w:p w:rsidR="00EE13C7" w:rsidRDefault="00444FE9">
            <w:pPr>
              <w:spacing w:after="0" w:line="276" w:lineRule="auto"/>
              <w:jc w:val="center"/>
            </w:pPr>
            <w:r>
              <w:rPr>
                <w:rFonts w:ascii="Times New Roman" w:eastAsia="Times New Roman" w:hAnsi="Times New Roman" w:cs="Times New Roman"/>
                <w:b/>
                <w:sz w:val="26"/>
              </w:rPr>
              <w:t>Hình thức nộp</w:t>
            </w:r>
          </w:p>
        </w:tc>
        <w:tc>
          <w:tcPr>
            <w:tcW w:w="2000" w:type="dxa"/>
          </w:tcPr>
          <w:p w:rsidR="00EE13C7" w:rsidRDefault="00EE13C7"/>
          <w:p w:rsidR="00EE13C7" w:rsidRDefault="00444FE9">
            <w:pPr>
              <w:spacing w:after="0" w:line="276" w:lineRule="auto"/>
              <w:jc w:val="center"/>
            </w:pPr>
            <w:r>
              <w:rPr>
                <w:rFonts w:ascii="Times New Roman" w:eastAsia="Times New Roman" w:hAnsi="Times New Roman" w:cs="Times New Roman"/>
                <w:b/>
                <w:sz w:val="26"/>
              </w:rPr>
              <w:t>Thời h</w:t>
            </w:r>
            <w:r>
              <w:rPr>
                <w:rFonts w:ascii="Times New Roman" w:eastAsia="Times New Roman" w:hAnsi="Times New Roman" w:cs="Times New Roman"/>
                <w:b/>
                <w:sz w:val="26"/>
              </w:rPr>
              <w:t>ạn giải quyết</w:t>
            </w:r>
          </w:p>
        </w:tc>
        <w:tc>
          <w:tcPr>
            <w:tcW w:w="3500" w:type="dxa"/>
          </w:tcPr>
          <w:p w:rsidR="00EE13C7" w:rsidRDefault="00EE13C7"/>
          <w:p w:rsidR="00EE13C7" w:rsidRDefault="00444FE9">
            <w:pPr>
              <w:spacing w:after="0" w:line="276" w:lineRule="auto"/>
              <w:jc w:val="center"/>
            </w:pPr>
            <w:r>
              <w:rPr>
                <w:rFonts w:ascii="Times New Roman" w:eastAsia="Times New Roman" w:hAnsi="Times New Roman" w:cs="Times New Roman"/>
                <w:b/>
                <w:sz w:val="26"/>
              </w:rPr>
              <w:t>Phí, lệ phí</w:t>
            </w:r>
          </w:p>
        </w:tc>
        <w:tc>
          <w:tcPr>
            <w:tcW w:w="3000" w:type="dxa"/>
          </w:tcPr>
          <w:p w:rsidR="00EE13C7" w:rsidRDefault="00EE13C7"/>
          <w:p w:rsidR="00EE13C7" w:rsidRDefault="00444FE9">
            <w:pPr>
              <w:spacing w:after="0" w:line="276" w:lineRule="auto"/>
              <w:jc w:val="center"/>
            </w:pPr>
            <w:r>
              <w:rPr>
                <w:rFonts w:ascii="Times New Roman" w:eastAsia="Times New Roman" w:hAnsi="Times New Roman" w:cs="Times New Roman"/>
                <w:b/>
                <w:sz w:val="26"/>
              </w:rPr>
              <w:t>Mô tả</w:t>
            </w:r>
          </w:p>
        </w:tc>
      </w:tr>
      <w:tr w:rsidR="00EE13C7">
        <w:tblPrEx>
          <w:tblCellMar>
            <w:top w:w="0" w:type="dxa"/>
            <w:bottom w:w="0" w:type="dxa"/>
          </w:tblCellMar>
        </w:tblPrEx>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Trực tiếp</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05 Ngày làm việc</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Lệ phí : Theo quy định của Hội đồng nhân dân cấp tỉnh Đồng (Theo quy định của Hội đồng nhân dân cấp tỉnh)</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- 05 ngày làm việc kể từ ngày nhận đủ hồ sơ hợp lệ.</w:t>
            </w:r>
          </w:p>
        </w:tc>
      </w:tr>
      <w:tr w:rsidR="00EE13C7">
        <w:tblPrEx>
          <w:tblCellMar>
            <w:top w:w="0" w:type="dxa"/>
            <w:bottom w:w="0" w:type="dxa"/>
          </w:tblCellMar>
        </w:tblPrEx>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Trực tuyến</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05 Ngày làm việc</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Phí : (Theo quy định của Hội đồng nhân dân cấp tỉnh) Đồng ((Theo quy định của Hội đồng nhân dân cấp tỉnh))</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- 05 ngày làm việc kể từ ngày nhận đủ hồ sơ hợp lệ.</w:t>
            </w:r>
          </w:p>
        </w:tc>
      </w:tr>
      <w:tr w:rsidR="00EE13C7">
        <w:tblPrEx>
          <w:tblCellMar>
            <w:top w:w="0" w:type="dxa"/>
            <w:bottom w:w="0" w:type="dxa"/>
          </w:tblCellMar>
        </w:tblPrEx>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Dịch vụ bưu chính</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05 Ngày làm việc</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Phí : Theo quy định của Hội đồng nhân dân cấp tỉnh Đồng (</w:t>
            </w:r>
            <w:r>
              <w:rPr>
                <w:rFonts w:ascii="Times New Roman" w:eastAsia="Times New Roman" w:hAnsi="Times New Roman" w:cs="Times New Roman"/>
                <w:sz w:val="26"/>
              </w:rPr>
              <w:t>Theo quy định của Hội đồng nhân dân cấp tỉnh)</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- 05 ngày làm việc kể từ ngày nhận đủ hồ sơ hợp lệ.</w:t>
            </w:r>
          </w:p>
        </w:tc>
      </w:tr>
    </w:tbl>
    <w:p w:rsidR="00EE13C7" w:rsidRDefault="00444FE9">
      <w:pPr>
        <w:spacing w:before="240" w:after="0" w:line="276" w:lineRule="auto"/>
        <w:jc w:val="both"/>
      </w:pPr>
      <w:r>
        <w:rPr>
          <w:rFonts w:ascii="Times New Roman" w:eastAsia="Times New Roman" w:hAnsi="Times New Roman" w:cs="Times New Roman"/>
          <w:b/>
          <w:sz w:val="26"/>
        </w:rPr>
        <w:t xml:space="preserve">Thành phần hồ sơ: </w:t>
      </w:r>
    </w:p>
    <w:p w:rsidR="00EE13C7" w:rsidRDefault="00444FE9">
      <w:pPr>
        <w:shd w:val="clear" w:color="auto" w:fill="F2F6F9"/>
        <w:spacing w:before="120" w:after="0" w:line="276" w:lineRule="auto"/>
        <w:jc w:val="both"/>
      </w:pPr>
      <w:r>
        <w:rPr>
          <w:rFonts w:ascii="Times New Roman" w:eastAsia="Times New Roman" w:hAnsi="Times New Roman" w:cs="Times New Roman"/>
          <w:b/>
          <w:sz w:val="26"/>
        </w:rPr>
        <w:lastRenderedPageBreak/>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565"/>
        <w:gridCol w:w="2750"/>
        <w:gridCol w:w="1096"/>
      </w:tblGrid>
      <w:tr w:rsidR="00EE13C7">
        <w:tblPrEx>
          <w:tblCellMar>
            <w:top w:w="0" w:type="dxa"/>
            <w:bottom w:w="0" w:type="dxa"/>
          </w:tblCellMar>
        </w:tblPrEx>
        <w:tc>
          <w:tcPr>
            <w:tcW w:w="6000" w:type="dxa"/>
          </w:tcPr>
          <w:p w:rsidR="00EE13C7" w:rsidRDefault="00EE13C7"/>
          <w:p w:rsidR="00EE13C7" w:rsidRDefault="00444FE9">
            <w:pPr>
              <w:spacing w:after="0" w:line="276" w:lineRule="auto"/>
              <w:jc w:val="center"/>
            </w:pPr>
            <w:r>
              <w:rPr>
                <w:rFonts w:ascii="Times New Roman" w:eastAsia="Times New Roman" w:hAnsi="Times New Roman" w:cs="Times New Roman"/>
                <w:b/>
                <w:sz w:val="26"/>
              </w:rPr>
              <w:t>Tên giấy tờ</w:t>
            </w:r>
          </w:p>
        </w:tc>
        <w:tc>
          <w:tcPr>
            <w:tcW w:w="2000" w:type="dxa"/>
          </w:tcPr>
          <w:p w:rsidR="00EE13C7" w:rsidRDefault="00EE13C7"/>
          <w:p w:rsidR="00EE13C7" w:rsidRDefault="00444FE9">
            <w:pPr>
              <w:spacing w:after="0" w:line="276" w:lineRule="auto"/>
              <w:jc w:val="center"/>
            </w:pPr>
            <w:r>
              <w:rPr>
                <w:rFonts w:ascii="Times New Roman" w:eastAsia="Times New Roman" w:hAnsi="Times New Roman" w:cs="Times New Roman"/>
                <w:b/>
                <w:sz w:val="26"/>
              </w:rPr>
              <w:t>Mẫu đơn, tờ khai</w:t>
            </w:r>
          </w:p>
        </w:tc>
        <w:tc>
          <w:tcPr>
            <w:tcW w:w="2000" w:type="dxa"/>
          </w:tcPr>
          <w:p w:rsidR="00EE13C7" w:rsidRDefault="00EE13C7"/>
          <w:p w:rsidR="00EE13C7" w:rsidRDefault="00444FE9">
            <w:pPr>
              <w:spacing w:after="0" w:line="276" w:lineRule="auto"/>
              <w:jc w:val="center"/>
            </w:pPr>
            <w:r>
              <w:rPr>
                <w:rFonts w:ascii="Times New Roman" w:eastAsia="Times New Roman" w:hAnsi="Times New Roman" w:cs="Times New Roman"/>
                <w:b/>
                <w:sz w:val="26"/>
              </w:rPr>
              <w:t>Số lượng</w:t>
            </w:r>
          </w:p>
        </w:tc>
      </w:tr>
      <w:tr w:rsidR="00EE13C7">
        <w:tblPrEx>
          <w:tblCellMar>
            <w:top w:w="0" w:type="dxa"/>
            <w:bottom w:w="0" w:type="dxa"/>
          </w:tblCellMar>
        </w:tblPrEx>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 xml:space="preserve">- Đơn đề nghị gia hạn giấy phép xây dựng theo Mẫu số 2 Phụ lục số II Nghị định số </w:t>
            </w:r>
            <w:r>
              <w:rPr>
                <w:rFonts w:ascii="Times New Roman" w:eastAsia="Times New Roman" w:hAnsi="Times New Roman" w:cs="Times New Roman"/>
                <w:sz w:val="26"/>
              </w:rPr>
              <w:t>175/2024/NĐ-CP ngày 30/12/2024 của Chính phủ.</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5.M02.PLII.GHtcpII.docx</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E13C7">
        <w:tblPrEx>
          <w:tblCellMar>
            <w:top w:w="0" w:type="dxa"/>
            <w:bottom w:w="0" w:type="dxa"/>
          </w:tblCellMar>
        </w:tblPrEx>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 Bản chính giấy phép xây dựng đã được cấp.</w:t>
            </w:r>
          </w:p>
        </w:tc>
        <w:tc>
          <w:tcPr>
            <w:tcW w:w="0" w:type="auto"/>
          </w:tcPr>
          <w:p w:rsidR="00EE13C7" w:rsidRDefault="00EE13C7"/>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EE13C7" w:rsidRDefault="00444FE9">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Cán bộ, công chức, viên chức, Doanh nghiệp, Tổ </w:t>
      </w:r>
      <w:r>
        <w:rPr>
          <w:rFonts w:ascii="Times New Roman" w:eastAsia="Times New Roman" w:hAnsi="Times New Roman" w:cs="Times New Roman"/>
          <w:sz w:val="26"/>
        </w:rPr>
        <w:t>chức (không bao gồm doanh nghiệp, HTX), Hợp tác xã</w:t>
      </w:r>
    </w:p>
    <w:p w:rsidR="00EE13C7" w:rsidRDefault="00444FE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Ban Quản lý Khu chế xuất- Khu công nghiệp, Ban QLDA đầu tư xây dựng khu kinh tế, Ban Quản lý Khu công nghệ cao, Bộ phận Một cửa Sở Xây dựng</w:t>
      </w:r>
    </w:p>
    <w:p w:rsidR="00EE13C7" w:rsidRDefault="00444FE9">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EE13C7" w:rsidRDefault="00444FE9">
      <w:pPr>
        <w:spacing w:after="0" w:line="276" w:lineRule="auto"/>
        <w:jc w:val="both"/>
      </w:pPr>
      <w:r>
        <w:rPr>
          <w:rFonts w:ascii="Times New Roman" w:eastAsia="Times New Roman" w:hAnsi="Times New Roman" w:cs="Times New Roman"/>
          <w:b/>
          <w:sz w:val="26"/>
        </w:rPr>
        <w:t xml:space="preserve">Địa </w:t>
      </w:r>
      <w:r>
        <w:rPr>
          <w:rFonts w:ascii="Times New Roman" w:eastAsia="Times New Roman" w:hAnsi="Times New Roman" w:cs="Times New Roman"/>
          <w:b/>
          <w:sz w:val="26"/>
        </w:rPr>
        <w:t xml:space="preserve">chỉ tiếp nhận HS: </w:t>
      </w:r>
      <w:r>
        <w:rPr>
          <w:rFonts w:ascii="Times New Roman" w:eastAsia="Times New Roman" w:hAnsi="Times New Roman" w:cs="Times New Roman"/>
          <w:sz w:val="26"/>
        </w:rPr>
        <w:t>Không có thông tin</w:t>
      </w:r>
    </w:p>
    <w:p w:rsidR="00EE13C7" w:rsidRDefault="00444FE9">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E13C7" w:rsidRDefault="00444FE9">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E13C7" w:rsidRDefault="00444FE9">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xây dựng được gia hạn theo quy định</w:t>
      </w:r>
    </w:p>
    <w:p w:rsidR="00EE13C7" w:rsidRDefault="00444FE9">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03"/>
        <w:gridCol w:w="5505"/>
        <w:gridCol w:w="862"/>
        <w:gridCol w:w="1341"/>
      </w:tblGrid>
      <w:tr w:rsidR="00EE13C7">
        <w:tblPrEx>
          <w:tblCellMar>
            <w:top w:w="0" w:type="dxa"/>
            <w:bottom w:w="0" w:type="dxa"/>
          </w:tblCellMar>
        </w:tblPrEx>
        <w:tc>
          <w:tcPr>
            <w:tcW w:w="2000" w:type="dxa"/>
          </w:tcPr>
          <w:p w:rsidR="00EE13C7" w:rsidRDefault="00EE13C7"/>
          <w:p w:rsidR="00EE13C7" w:rsidRDefault="00444FE9">
            <w:pPr>
              <w:spacing w:after="0" w:line="276" w:lineRule="auto"/>
              <w:jc w:val="center"/>
            </w:pPr>
            <w:r>
              <w:rPr>
                <w:rFonts w:ascii="Times New Roman" w:eastAsia="Times New Roman" w:hAnsi="Times New Roman" w:cs="Times New Roman"/>
                <w:b/>
                <w:sz w:val="26"/>
              </w:rPr>
              <w:t>Số ký hiệu</w:t>
            </w:r>
          </w:p>
        </w:tc>
        <w:tc>
          <w:tcPr>
            <w:tcW w:w="3500" w:type="dxa"/>
          </w:tcPr>
          <w:p w:rsidR="00EE13C7" w:rsidRDefault="00EE13C7"/>
          <w:p w:rsidR="00EE13C7" w:rsidRDefault="00444FE9">
            <w:pPr>
              <w:spacing w:after="0" w:line="276" w:lineRule="auto"/>
              <w:jc w:val="center"/>
            </w:pPr>
            <w:r>
              <w:rPr>
                <w:rFonts w:ascii="Times New Roman" w:eastAsia="Times New Roman" w:hAnsi="Times New Roman" w:cs="Times New Roman"/>
                <w:b/>
                <w:sz w:val="26"/>
              </w:rPr>
              <w:t>Trích yếu</w:t>
            </w:r>
          </w:p>
        </w:tc>
        <w:tc>
          <w:tcPr>
            <w:tcW w:w="1500" w:type="dxa"/>
          </w:tcPr>
          <w:p w:rsidR="00EE13C7" w:rsidRDefault="00EE13C7"/>
          <w:p w:rsidR="00EE13C7" w:rsidRDefault="00444FE9">
            <w:pPr>
              <w:spacing w:after="0" w:line="276" w:lineRule="auto"/>
              <w:jc w:val="center"/>
            </w:pPr>
            <w:r>
              <w:rPr>
                <w:rFonts w:ascii="Times New Roman" w:eastAsia="Times New Roman" w:hAnsi="Times New Roman" w:cs="Times New Roman"/>
                <w:b/>
                <w:sz w:val="26"/>
              </w:rPr>
              <w:t>Ngày ban hành</w:t>
            </w:r>
          </w:p>
        </w:tc>
        <w:tc>
          <w:tcPr>
            <w:tcW w:w="3000" w:type="dxa"/>
          </w:tcPr>
          <w:p w:rsidR="00EE13C7" w:rsidRDefault="00EE13C7"/>
          <w:p w:rsidR="00EE13C7" w:rsidRDefault="00444FE9">
            <w:pPr>
              <w:spacing w:after="0" w:line="276" w:lineRule="auto"/>
              <w:jc w:val="center"/>
            </w:pPr>
            <w:r>
              <w:rPr>
                <w:rFonts w:ascii="Times New Roman" w:eastAsia="Times New Roman" w:hAnsi="Times New Roman" w:cs="Times New Roman"/>
                <w:b/>
                <w:sz w:val="26"/>
              </w:rPr>
              <w:t>Cơ quan ban hành</w:t>
            </w:r>
          </w:p>
        </w:tc>
      </w:tr>
      <w:tr w:rsidR="00EE13C7">
        <w:tblPrEx>
          <w:tblCellMar>
            <w:top w:w="0" w:type="dxa"/>
            <w:bottom w:w="0" w:type="dxa"/>
          </w:tblCellMar>
        </w:tblPrEx>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50/2014/QH13</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Luật Xây dựng năm 2014</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18-06-2014</w:t>
            </w:r>
          </w:p>
        </w:tc>
        <w:tc>
          <w:tcPr>
            <w:tcW w:w="0" w:type="auto"/>
          </w:tcPr>
          <w:p w:rsidR="00EE13C7" w:rsidRDefault="00EE13C7"/>
        </w:tc>
      </w:tr>
      <w:tr w:rsidR="00EE13C7">
        <w:tblPrEx>
          <w:tblCellMar>
            <w:top w:w="0" w:type="dxa"/>
            <w:bottom w:w="0" w:type="dxa"/>
          </w:tblCellMar>
        </w:tblPrEx>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62/2020/QH14</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Luật sửa đổi, bổ sung một số điều của Luật Xây dựng năm 2020</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17-06-2020</w:t>
            </w:r>
          </w:p>
        </w:tc>
        <w:tc>
          <w:tcPr>
            <w:tcW w:w="0" w:type="auto"/>
          </w:tcPr>
          <w:p w:rsidR="00EE13C7" w:rsidRDefault="00EE13C7"/>
        </w:tc>
      </w:tr>
      <w:tr w:rsidR="00EE13C7">
        <w:tblPrEx>
          <w:tblCellMar>
            <w:top w:w="0" w:type="dxa"/>
            <w:bottom w:w="0" w:type="dxa"/>
          </w:tblCellMar>
        </w:tblPrEx>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175/2024/NĐ-CP</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Nghị định số 175/2024/NĐ-CP của Chính phủ quy định chi tiết một số điều và biện pháp thi hành Luật</w:t>
            </w:r>
            <w:r>
              <w:rPr>
                <w:rFonts w:ascii="Times New Roman" w:eastAsia="Times New Roman" w:hAnsi="Times New Roman" w:cs="Times New Roman"/>
                <w:sz w:val="26"/>
              </w:rPr>
              <w:t xml:space="preserve"> </w:t>
            </w:r>
            <w:r>
              <w:rPr>
                <w:rFonts w:ascii="Times New Roman" w:eastAsia="Times New Roman" w:hAnsi="Times New Roman" w:cs="Times New Roman"/>
                <w:sz w:val="26"/>
              </w:rPr>
              <w:lastRenderedPageBreak/>
              <w:t>Xây dựng về quản lý hoạt động xây dựng</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30-12-2024</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Chính phủ</w:t>
            </w:r>
          </w:p>
        </w:tc>
      </w:tr>
      <w:tr w:rsidR="00EE13C7">
        <w:tblPrEx>
          <w:tblCellMar>
            <w:top w:w="0" w:type="dxa"/>
            <w:bottom w:w="0" w:type="dxa"/>
          </w:tblCellMar>
        </w:tblPrEx>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144/2025/NĐ-CP</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12-06-2025</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Chính phủ</w:t>
            </w:r>
          </w:p>
        </w:tc>
      </w:tr>
      <w:tr w:rsidR="00EE13C7">
        <w:tblPrEx>
          <w:tblCellMar>
            <w:top w:w="0" w:type="dxa"/>
            <w:bottom w:w="0" w:type="dxa"/>
          </w:tblCellMar>
        </w:tblPrEx>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105/2025/NĐ-CP</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 xml:space="preserve">quy định chi tiết một số điều và biện pháp thi hành </w:t>
            </w:r>
            <w:r>
              <w:rPr>
                <w:rFonts w:ascii="Times New Roman" w:eastAsia="Times New Roman" w:hAnsi="Times New Roman" w:cs="Times New Roman"/>
                <w:sz w:val="26"/>
              </w:rPr>
              <w:t>luật phòng cháy, chữa cháy và cứu nạn, cứu hộ</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15-05-2025</w:t>
            </w:r>
          </w:p>
        </w:tc>
        <w:tc>
          <w:tcPr>
            <w:tcW w:w="0" w:type="auto"/>
          </w:tcPr>
          <w:p w:rsidR="00EE13C7" w:rsidRDefault="00EE13C7"/>
          <w:p w:rsidR="00EE13C7" w:rsidRDefault="00444FE9">
            <w:pPr>
              <w:spacing w:after="0" w:line="276" w:lineRule="auto"/>
            </w:pPr>
            <w:r>
              <w:rPr>
                <w:rFonts w:ascii="Times New Roman" w:eastAsia="Times New Roman" w:hAnsi="Times New Roman" w:cs="Times New Roman"/>
                <w:sz w:val="26"/>
              </w:rPr>
              <w:t>Chính phủ</w:t>
            </w:r>
          </w:p>
        </w:tc>
      </w:tr>
    </w:tbl>
    <w:p w:rsidR="00EE13C7" w:rsidRDefault="00444FE9">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Phù hợp với quy hoạch chi tiết xây dựng đã được cơ quan nhà nước có thẩm quyền phê duyệt. Đối với công trình xây dựng ở khu vực, tuyến phố trong đô </w:t>
      </w:r>
      <w:r>
        <w:rPr>
          <w:rFonts w:ascii="Times New Roman" w:eastAsia="Times New Roman" w:hAnsi="Times New Roman" w:cs="Times New Roman"/>
          <w:sz w:val="26"/>
        </w:rPr>
        <w:t>thị đã ổn định nhưng chưa có quy hoạch chi tiết xây dựng thì phải phù hợp với quy chế quản lý quy hoạch, kiến trúc đô thị hoặc thiết kế đô thị được cơ quan nhà nước có thẩm quyền ban hành. (Đối với công trình không theo tuyến ngoài đ</w:t>
      </w:r>
      <w:r>
        <w:rPr>
          <w:rFonts w:ascii="Times New Roman" w:eastAsia="Times New Roman" w:hAnsi="Times New Roman" w:cs="Times New Roman"/>
          <w:sz w:val="26"/>
        </w:rPr>
        <w:t>ô thị thì phù hợp với vị trí và tổng mặt bằng của dự án đã được cơ quan nhà nước có thẩm quyền chấp thuận bằng văn bản). - Phù hợp với mục đích sử dụng đất theo quy định của pháp luật về đất đai. - Bảo đảm an toàn cho công trình, công trình</w:t>
      </w:r>
      <w:r>
        <w:rPr>
          <w:rFonts w:ascii="Times New Roman" w:eastAsia="Times New Roman" w:hAnsi="Times New Roman" w:cs="Times New Roman"/>
          <w:sz w:val="26"/>
        </w:rPr>
        <w:t xml:space="preserve">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w:t>
      </w:r>
      <w:r>
        <w:rPr>
          <w:rFonts w:ascii="Times New Roman" w:eastAsia="Times New Roman" w:hAnsi="Times New Roman" w:cs="Times New Roman"/>
          <w:sz w:val="26"/>
        </w:rPr>
        <w:t xml:space="preserve">ình dễ cháy, nổ, độc hại và công trình quan trọng có liên quan đến quốc phòng, an ninh. - Thiết kế xây dựng công trình đã được thẩm định, phê duyệt theo quy định. - Các loại quy hoạch sử dụng làm căn cứ để lập dự án đầu tư xây dựng theo quy định tại khoản </w:t>
      </w:r>
      <w:r>
        <w:rPr>
          <w:rFonts w:ascii="Times New Roman" w:eastAsia="Times New Roman" w:hAnsi="Times New Roman" w:cs="Times New Roman"/>
          <w:sz w:val="26"/>
        </w:rPr>
        <w:t xml:space="preserve">2 Điều 13 Nghị định số  175/2024/NĐ-CP là cơ sở xem xét cấp giấy phép xây dựng. - Văn bản đã được cơ quan nhà nước có thẩm quyền chấp thuận về vị trí và tổng mặt bằng của dự án theo quy định tại khoản 1 Điều 92 Luật Xây dựng năm 2014 là một trong các loại </w:t>
      </w:r>
      <w:r>
        <w:rPr>
          <w:rFonts w:ascii="Times New Roman" w:eastAsia="Times New Roman" w:hAnsi="Times New Roman" w:cs="Times New Roman"/>
          <w:sz w:val="26"/>
        </w:rPr>
        <w:t>giấy tờ sau: + Quyết định phê duyệt quy hoạch chi tiết rút gọn và bản vẽ tổng mặt bằng, phương án kiến trúc công trình trong hồ sơ đồ án quy hoạch chi tiết rút gọn đã được phê duyệt; + Quyết định phê duyệt quy hoạch chi tiết xây dựng khu chức năng và Bản đ</w:t>
      </w:r>
      <w:r>
        <w:rPr>
          <w:rFonts w:ascii="Times New Roman" w:eastAsia="Times New Roman" w:hAnsi="Times New Roman" w:cs="Times New Roman"/>
          <w:sz w:val="26"/>
        </w:rPr>
        <w:t>ồ quy hoạch tổng mặt bằng sử dụng đất và các bản đồ, bản vẽ kèm theo trong hồ sơ đồ án quy hoạch chi tiết xây dựng khu chức năng đã được phê duyệt; + Quyết định phê duyệt quy hoạch chi tiết xây dựng điểm dân cư nông thôn và các bản đồ, bản vẽ kèm theo tron</w:t>
      </w:r>
      <w:r>
        <w:rPr>
          <w:rFonts w:ascii="Times New Roman" w:eastAsia="Times New Roman" w:hAnsi="Times New Roman" w:cs="Times New Roman"/>
          <w:sz w:val="26"/>
        </w:rPr>
        <w:t xml:space="preserve">g hồ sơ đồ án quy hoạch chi tiết xây dựng điểm dân cư nông thôn đã được phê duyệt; + Văn bản chấp thuận về vị trí, hướng tuyến và tổng mặt bằng của dự án theo quy định của pháp luật có liên quan. Việc chấp thuận về vị trí, hướng tuyến và tổng mặt bằng của </w:t>
      </w:r>
      <w:r>
        <w:rPr>
          <w:rFonts w:ascii="Times New Roman" w:eastAsia="Times New Roman" w:hAnsi="Times New Roman" w:cs="Times New Roman"/>
          <w:sz w:val="26"/>
        </w:rPr>
        <w:t xml:space="preserve">dự án thực hiện theo quy định tại khoản 5 Điều 121 Nghị định 175/2024/NĐ-CP.   - Đối với khu vực đã có quy hoạch xây dựng và theo quy định, dự án đầu tư xây dựng phải phù hợp với quy hoạch có tính chất kỹ thuật, chuyên ngành khác thì quy hoạch xây dựng và </w:t>
      </w:r>
      <w:r>
        <w:rPr>
          <w:rFonts w:ascii="Times New Roman" w:eastAsia="Times New Roman" w:hAnsi="Times New Roman" w:cs="Times New Roman"/>
          <w:sz w:val="26"/>
        </w:rPr>
        <w:t>quy hoạch có tính chất kỹ thuật, chuyên ngành này là cơ sở để xem xét cấp giấy phép xây dựng. - Đối với khu vực chưa có quy hoạch xây dựng thì quy hoạch có tính chất kỹ thuật, chuyên ngành khác có liên quan hoặc thiết kế đô thị hoặc quy chế quản lý kiến tr</w:t>
      </w:r>
      <w:r>
        <w:rPr>
          <w:rFonts w:ascii="Times New Roman" w:eastAsia="Times New Roman" w:hAnsi="Times New Roman" w:cs="Times New Roman"/>
          <w:sz w:val="26"/>
        </w:rPr>
        <w:t>úc hoặc văn bản của cơ quan nhà nước có thẩm quyền chấp thuận về vị trí và tổng mặt bằng (đối với công trình không theo tuyến ngoài đô thị) là cơ sở để xem xét cấp giấy phép xây dựng. - Đối với các công trình xây dựng ảnh hưởng lớn đến an toàn, lợi ích cộn</w:t>
      </w:r>
      <w:r>
        <w:rPr>
          <w:rFonts w:ascii="Times New Roman" w:eastAsia="Times New Roman" w:hAnsi="Times New Roman" w:cs="Times New Roman"/>
          <w:sz w:val="26"/>
        </w:rPr>
        <w:t>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w:t>
      </w:r>
      <w:r>
        <w:rPr>
          <w:rFonts w:ascii="Times New Roman" w:eastAsia="Times New Roman" w:hAnsi="Times New Roman" w:cs="Times New Roman"/>
          <w:sz w:val="26"/>
        </w:rPr>
        <w:t xml:space="preserve"> toàn công trình, sự tuân thủ tiêu chuẩn, quy chuẩn kỹ thuật của hồ sơ thiết kế xây dựng.</w:t>
      </w:r>
    </w:p>
    <w:p w:rsidR="00EE13C7" w:rsidRDefault="00444FE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EE13C7" w:rsidRDefault="00444FE9">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E13C7">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E13C7"/>
    <w:rsid w:val="00444FE9"/>
    <w:rsid w:val="00EE13C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61E66B-479E-4D13-B026-78908407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975</Words>
  <Characters>5560</Characters>
  <Application>Microsoft Office Word</Application>
  <DocSecurity>0</DocSecurity>
  <Lines>46</Lines>
  <Paragraphs>13</Paragraphs>
  <ScaleCrop>false</ScaleCrop>
  <Company>Microsoft</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